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bookmarkEnd w:id="3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r w:rsidR="00E73B3B" w:rsidRPr="00D508E7">
        <w:rPr>
          <w:rFonts w:ascii="標楷體" w:eastAsia="標楷體" w:hAnsi="標楷體" w:cs="標楷體" w:hint="eastAsia"/>
          <w:szCs w:val="24"/>
        </w:rPr>
        <w:t xml:space="preserve">—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「藝起玩書法」跨齡書藝工作坊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「書藝原動力」原住民書藝工作坊</w:t>
      </w:r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的書藝群眾運動，為書藝發聲。工作坊關注書藝的創新、書藝和生活、書寫與藝術、書寫主體性、跨文化書藝等課題。藉由書藝欣賞、溝通與實踐，寫出自主性與生命力！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~跨齡書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邀請書藝家羅應良、辜琪鈞、何景窗擔任工作坊講師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透過分享教學、親子間的討論，以「家」為概念結合空間的書法藝術書寫，體會與實踐日常生活中的書法藝術，親子一同打造書藝的家。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8"/>
        <w:gridCol w:w="2448"/>
        <w:gridCol w:w="2183"/>
        <w:gridCol w:w="3117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文房多寶格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lastRenderedPageBreak/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0"/>
        <w:gridCol w:w="2004"/>
        <w:gridCol w:w="6352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曾獲大墩美展篆刻類及新北市美展篆刻第一名，篆刻明宗獎、全國美展篆刻金牌獎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何景窗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邀請泰雅族藝術家米路．哈勇(</w:t>
      </w:r>
      <w:r w:rsidRPr="00BB6B60">
        <w:rPr>
          <w:rFonts w:ascii="標楷體" w:eastAsia="標楷體" w:hAnsi="標楷體"/>
        </w:rPr>
        <w:t>Miru Hayung)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lastRenderedPageBreak/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2228"/>
        <w:gridCol w:w="6023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(Miru)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30"/>
        <w:gridCol w:w="2091"/>
        <w:gridCol w:w="1696"/>
        <w:gridCol w:w="2294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字在·自在~創意寫宮扇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937"/>
        <w:gridCol w:w="6414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桃園市立美術館官網：</w:t>
      </w:r>
      <w:hyperlink r:id="rId7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活動現場將會有拍攝及錄影等活動紀錄，惠請同意將個人肖像權及著作權無償授予主辦單位，謝謝您。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防疫期間請配合本館入館實名制，配戴口罩及測量體溫，溫度超過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B2" w:rsidRDefault="00F46FB2" w:rsidP="00AF3AD1">
      <w:r>
        <w:separator/>
      </w:r>
    </w:p>
  </w:endnote>
  <w:endnote w:type="continuationSeparator" w:id="0">
    <w:p w:rsidR="00F46FB2" w:rsidRDefault="00F46FB2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B2" w:rsidRDefault="00F46FB2" w:rsidP="00AF3AD1">
      <w:r>
        <w:separator/>
      </w:r>
    </w:p>
  </w:footnote>
  <w:footnote w:type="continuationSeparator" w:id="0">
    <w:p w:rsidR="00F46FB2" w:rsidRDefault="00F46FB2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BB6"/>
      </v:shape>
    </w:pict>
  </w:numPicBullet>
  <w:abstractNum w:abstractNumId="0" w15:restartNumberingAfterBreak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46FB2"/>
    <w:rsid w:val="00F62349"/>
    <w:rsid w:val="00F73645"/>
    <w:rsid w:val="00F76FED"/>
    <w:rsid w:val="00FB69DC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CF84-B6D9-4EA1-BEBB-C02FED0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ofa.tycg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</dc:creator>
  <cp:keywords/>
  <dc:description/>
  <cp:lastModifiedBy>user</cp:lastModifiedBy>
  <cp:revision>2</cp:revision>
  <cp:lastPrinted>2020-07-15T02:38:00Z</cp:lastPrinted>
  <dcterms:created xsi:type="dcterms:W3CDTF">2020-08-19T04:49:00Z</dcterms:created>
  <dcterms:modified xsi:type="dcterms:W3CDTF">2020-08-19T04:49:00Z</dcterms:modified>
</cp:coreProperties>
</file>